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TAKOTSUBO CARDIOMYOPATHY AND STROKE </w:t>
      </w:r>
    </w:p>
    <w:p w:rsidR="00B921ED" w:rsidRDefault="00B921ED" w:rsidP="005657B5">
      <w:pPr>
        <w:widowControl w:val="0"/>
        <w:autoSpaceDE w:val="0"/>
        <w:autoSpaceDN w:val="0"/>
        <w:adjustRightInd w:val="0"/>
      </w:pPr>
      <w:r w:rsidRPr="00C4049E">
        <w:t>M</w:t>
      </w:r>
      <w:r w:rsidR="005657B5" w:rsidRPr="00C4049E">
        <w:t>.</w:t>
      </w:r>
      <w:r w:rsidRPr="00C4049E">
        <w:t>L</w:t>
      </w:r>
      <w:r w:rsidR="005657B5" w:rsidRPr="00C4049E">
        <w:t>.</w:t>
      </w:r>
      <w:r w:rsidRPr="00C4049E">
        <w:t xml:space="preserve"> Young</w:t>
      </w:r>
      <w:r w:rsidR="005657B5" w:rsidRPr="00C4049E">
        <w:rPr>
          <w:vertAlign w:val="superscript"/>
        </w:rPr>
        <w:t>1</w:t>
      </w:r>
      <w:r>
        <w:t>, J</w:t>
      </w:r>
      <w:r w:rsidR="005657B5">
        <w:t>.</w:t>
      </w:r>
      <w:r>
        <w:t xml:space="preserve"> Stoehr</w:t>
      </w:r>
      <w:r w:rsidR="005657B5" w:rsidRPr="005657B5">
        <w:rPr>
          <w:vertAlign w:val="superscript"/>
        </w:rPr>
        <w:t>1</w:t>
      </w:r>
      <w:r>
        <w:t>, M</w:t>
      </w:r>
      <w:r w:rsidR="005657B5">
        <w:t>.</w:t>
      </w:r>
      <w:r>
        <w:t>I</w:t>
      </w:r>
      <w:r w:rsidR="005657B5">
        <w:t>.</w:t>
      </w:r>
      <w:r>
        <w:t xml:space="preserve"> Aguilar</w:t>
      </w:r>
      <w:r w:rsidR="005657B5" w:rsidRPr="005657B5">
        <w:rPr>
          <w:vertAlign w:val="superscript"/>
        </w:rPr>
        <w:t>2</w:t>
      </w:r>
      <w:r>
        <w:t xml:space="preserve">, </w:t>
      </w:r>
      <w:r w:rsidRPr="00C4049E">
        <w:rPr>
          <w:b/>
          <w:bCs/>
          <w:u w:val="single"/>
        </w:rPr>
        <w:t>F</w:t>
      </w:r>
      <w:r w:rsidR="005657B5" w:rsidRPr="00C4049E">
        <w:rPr>
          <w:b/>
          <w:bCs/>
          <w:u w:val="single"/>
        </w:rPr>
        <w:t>.</w:t>
      </w:r>
      <w:r w:rsidRPr="00C4049E">
        <w:rPr>
          <w:b/>
          <w:bCs/>
          <w:u w:val="single"/>
        </w:rPr>
        <w:t>D</w:t>
      </w:r>
      <w:r w:rsidR="005657B5" w:rsidRPr="00C4049E">
        <w:rPr>
          <w:b/>
          <w:bCs/>
          <w:u w:val="single"/>
        </w:rPr>
        <w:t>.</w:t>
      </w:r>
      <w:r w:rsidRPr="00C4049E">
        <w:rPr>
          <w:b/>
          <w:bCs/>
          <w:u w:val="single"/>
        </w:rPr>
        <w:t xml:space="preserve"> Fortuin</w:t>
      </w:r>
      <w:r w:rsidR="005657B5" w:rsidRPr="00C4049E">
        <w:rPr>
          <w:b/>
          <w:bCs/>
          <w:u w:val="single"/>
          <w:vertAlign w:val="superscript"/>
        </w:rPr>
        <w:t>2</w:t>
      </w:r>
    </w:p>
    <w:p w:rsidR="00B921ED" w:rsidRDefault="005657B5" w:rsidP="005657B5">
      <w:pPr>
        <w:widowControl w:val="0"/>
        <w:autoSpaceDE w:val="0"/>
        <w:autoSpaceDN w:val="0"/>
        <w:adjustRightInd w:val="0"/>
        <w:rPr>
          <w:color w:val="503820"/>
        </w:rPr>
      </w:pPr>
      <w:r w:rsidRPr="005657B5">
        <w:rPr>
          <w:color w:val="000000"/>
          <w:vertAlign w:val="superscript"/>
        </w:rPr>
        <w:t>1</w:t>
      </w:r>
      <w:r w:rsidR="00B921ED">
        <w:rPr>
          <w:color w:val="000000"/>
        </w:rPr>
        <w:t>Midwestern University,</w:t>
      </w:r>
      <w:r>
        <w:rPr>
          <w:color w:val="000000"/>
        </w:rPr>
        <w:t xml:space="preserve"> </w:t>
      </w:r>
      <w:r w:rsidR="00B921ED">
        <w:rPr>
          <w:color w:val="000000"/>
        </w:rPr>
        <w:t xml:space="preserve">Glendale, AZ, </w:t>
      </w:r>
      <w:r w:rsidRPr="005657B5">
        <w:rPr>
          <w:color w:val="000000"/>
          <w:vertAlign w:val="superscript"/>
        </w:rPr>
        <w:t>2</w:t>
      </w:r>
      <w:r w:rsidR="00B921ED">
        <w:rPr>
          <w:color w:val="000000"/>
        </w:rPr>
        <w:t>Mayo Cl</w:t>
      </w:r>
      <w:r w:rsidR="00C4049E">
        <w:rPr>
          <w:color w:val="000000"/>
        </w:rPr>
        <w:t>inic Hospital, Phoenix, AZ, USA</w:t>
      </w:r>
      <w:bookmarkStart w:id="0" w:name="_GoBack"/>
      <w:bookmarkEnd w:id="0"/>
      <w:r w:rsidR="00B921ED">
        <w:rPr>
          <w:color w:val="000000"/>
        </w:rPr>
        <w:t xml:space="preserve"> </w:t>
      </w:r>
    </w:p>
    <w:p w:rsidR="00B921ED" w:rsidRDefault="00B921ED">
      <w:pPr>
        <w:widowControl w:val="0"/>
        <w:autoSpaceDE w:val="0"/>
        <w:autoSpaceDN w:val="0"/>
        <w:adjustRightInd w:val="0"/>
      </w:pPr>
    </w:p>
    <w:p w:rsidR="005657B5" w:rsidRDefault="00B921ED">
      <w:pPr>
        <w:widowControl w:val="0"/>
        <w:autoSpaceDE w:val="0"/>
        <w:autoSpaceDN w:val="0"/>
        <w:adjustRightInd w:val="0"/>
        <w:jc w:val="both"/>
      </w:pPr>
      <w:r>
        <w:t xml:space="preserve">Objectives and background:  Stroke has been described after the diagnosis of </w:t>
      </w:r>
      <w:proofErr w:type="spellStart"/>
      <w:r>
        <w:t>Takotsubo</w:t>
      </w:r>
      <w:proofErr w:type="spellEnd"/>
      <w:r>
        <w:t xml:space="preserve"> Cardiomyopathy (TC), with the incidence reported in the range of 0.8-1.2 percent.  In this retrospective, consecutive case series, we sought to better define the relationship of stroke and TC.   </w:t>
      </w:r>
    </w:p>
    <w:p w:rsidR="005657B5" w:rsidRDefault="00B921ED">
      <w:pPr>
        <w:widowControl w:val="0"/>
        <w:autoSpaceDE w:val="0"/>
        <w:autoSpaceDN w:val="0"/>
        <w:adjustRightInd w:val="0"/>
        <w:jc w:val="both"/>
      </w:pPr>
      <w:r>
        <w:t>Methodology:  Using diagnosis codes, we identified and abstracted data from the medical records of all patients diagnosed with TC at Mayo Clinic Hospital (Phoenix, AZ) between January 2006 and October 2011.</w:t>
      </w:r>
    </w:p>
    <w:p w:rsidR="005657B5" w:rsidRDefault="00B921ED">
      <w:pPr>
        <w:widowControl w:val="0"/>
        <w:autoSpaceDE w:val="0"/>
        <w:autoSpaceDN w:val="0"/>
        <w:adjustRightInd w:val="0"/>
        <w:jc w:val="both"/>
      </w:pPr>
      <w:r>
        <w:t>Results:  (see table)</w:t>
      </w:r>
    </w:p>
    <w:p w:rsidR="005657B5" w:rsidRDefault="005657B5" w:rsidP="005657B5">
      <w:pPr>
        <w:pStyle w:val="NoSpacing"/>
        <w:rPr>
          <w:rFonts w:ascii="Times New Roman" w:hAnsi="Times New Roman"/>
          <w:bCs/>
        </w:rPr>
      </w:pPr>
    </w:p>
    <w:tbl>
      <w:tblPr>
        <w:tblW w:w="6197" w:type="dxa"/>
        <w:tblBorders>
          <w:top w:val="single" w:sz="12" w:space="0" w:color="000000"/>
          <w:bottom w:val="single" w:sz="12" w:space="0" w:color="000000"/>
          <w:insideH w:val="single" w:sz="6" w:space="0" w:color="000000"/>
        </w:tblBorders>
        <w:tblLook w:val="00A0" w:firstRow="1" w:lastRow="0" w:firstColumn="1" w:lastColumn="0" w:noHBand="0" w:noVBand="0"/>
      </w:tblPr>
      <w:tblGrid>
        <w:gridCol w:w="4608"/>
        <w:gridCol w:w="1589"/>
      </w:tblGrid>
      <w:tr w:rsidR="005657B5" w:rsidTr="005657B5">
        <w:trPr>
          <w:trHeight w:val="300"/>
        </w:trPr>
        <w:tc>
          <w:tcPr>
            <w:tcW w:w="4608" w:type="dxa"/>
            <w:tcBorders>
              <w:top w:val="single" w:sz="12" w:space="0" w:color="000000"/>
              <w:left w:val="nil"/>
              <w:bottom w:val="single" w:sz="12" w:space="0" w:color="000000"/>
              <w:right w:val="nil"/>
            </w:tcBorders>
            <w:noWrap/>
            <w:hideMark/>
          </w:tcPr>
          <w:p w:rsidR="005657B5" w:rsidRDefault="005657B5">
            <w:pPr>
              <w:rPr>
                <w:color w:val="000000"/>
                <w:sz w:val="22"/>
                <w:szCs w:val="22"/>
                <w:lang w:bidi="ar-SA"/>
              </w:rPr>
            </w:pPr>
            <w:r>
              <w:rPr>
                <w:color w:val="000000"/>
              </w:rPr>
              <w:t>Demographics</w:t>
            </w:r>
          </w:p>
        </w:tc>
        <w:tc>
          <w:tcPr>
            <w:tcW w:w="1589" w:type="dxa"/>
            <w:tcBorders>
              <w:top w:val="single" w:sz="12" w:space="0" w:color="000000"/>
              <w:left w:val="nil"/>
              <w:bottom w:val="single" w:sz="12" w:space="0" w:color="000000"/>
              <w:right w:val="nil"/>
            </w:tcBorders>
            <w:noWrap/>
            <w:hideMark/>
          </w:tcPr>
          <w:p w:rsidR="005657B5" w:rsidRDefault="005657B5">
            <w:pPr>
              <w:rPr>
                <w:b/>
                <w:bCs/>
                <w:color w:val="000000"/>
                <w:sz w:val="22"/>
                <w:szCs w:val="22"/>
                <w:lang w:bidi="ar-SA"/>
              </w:rPr>
            </w:pPr>
            <w:r>
              <w:rPr>
                <w:b/>
                <w:bCs/>
                <w:color w:val="000000"/>
              </w:rPr>
              <w:t>N=110</w:t>
            </w:r>
          </w:p>
        </w:tc>
      </w:tr>
      <w:tr w:rsidR="005657B5" w:rsidTr="005657B5">
        <w:trPr>
          <w:trHeight w:val="300"/>
        </w:trPr>
        <w:tc>
          <w:tcPr>
            <w:tcW w:w="4608" w:type="dxa"/>
            <w:tcBorders>
              <w:top w:val="single" w:sz="6" w:space="0" w:color="000000"/>
              <w:left w:val="nil"/>
              <w:bottom w:val="single" w:sz="6" w:space="0" w:color="000000"/>
              <w:right w:val="nil"/>
            </w:tcBorders>
            <w:noWrap/>
            <w:hideMark/>
          </w:tcPr>
          <w:p w:rsidR="005657B5" w:rsidRDefault="005657B5">
            <w:pPr>
              <w:ind w:firstLine="360"/>
              <w:rPr>
                <w:color w:val="000000"/>
                <w:sz w:val="22"/>
                <w:szCs w:val="22"/>
                <w:lang w:bidi="ar-SA"/>
              </w:rPr>
            </w:pPr>
            <w:r>
              <w:rPr>
                <w:color w:val="000000"/>
              </w:rPr>
              <w:t>Average age (years)</w:t>
            </w:r>
          </w:p>
        </w:tc>
        <w:tc>
          <w:tcPr>
            <w:tcW w:w="1589" w:type="dxa"/>
            <w:tcBorders>
              <w:top w:val="single" w:sz="6" w:space="0" w:color="000000"/>
              <w:left w:val="nil"/>
              <w:bottom w:val="single" w:sz="6" w:space="0" w:color="000000"/>
              <w:right w:val="nil"/>
            </w:tcBorders>
            <w:noWrap/>
            <w:hideMark/>
          </w:tcPr>
          <w:p w:rsidR="005657B5" w:rsidRDefault="005657B5">
            <w:pPr>
              <w:rPr>
                <w:color w:val="000000"/>
                <w:sz w:val="22"/>
                <w:szCs w:val="22"/>
                <w:lang w:bidi="ar-SA"/>
              </w:rPr>
            </w:pPr>
            <w:r>
              <w:rPr>
                <w:color w:val="000000"/>
              </w:rPr>
              <w:t xml:space="preserve">70 </w:t>
            </w:r>
          </w:p>
        </w:tc>
      </w:tr>
      <w:tr w:rsidR="005657B5" w:rsidTr="005657B5">
        <w:trPr>
          <w:trHeight w:val="300"/>
        </w:trPr>
        <w:tc>
          <w:tcPr>
            <w:tcW w:w="4608" w:type="dxa"/>
            <w:tcBorders>
              <w:top w:val="single" w:sz="6" w:space="0" w:color="000000"/>
              <w:left w:val="nil"/>
              <w:bottom w:val="single" w:sz="6" w:space="0" w:color="000000"/>
              <w:right w:val="nil"/>
            </w:tcBorders>
            <w:noWrap/>
            <w:hideMark/>
          </w:tcPr>
          <w:p w:rsidR="005657B5" w:rsidRDefault="005657B5">
            <w:pPr>
              <w:ind w:firstLine="360"/>
              <w:rPr>
                <w:color w:val="000000"/>
                <w:sz w:val="22"/>
                <w:szCs w:val="22"/>
                <w:lang w:bidi="ar-SA"/>
              </w:rPr>
            </w:pPr>
            <w:r>
              <w:rPr>
                <w:color w:val="000000"/>
              </w:rPr>
              <w:t>Female</w:t>
            </w:r>
          </w:p>
        </w:tc>
        <w:tc>
          <w:tcPr>
            <w:tcW w:w="1589" w:type="dxa"/>
            <w:tcBorders>
              <w:top w:val="single" w:sz="6" w:space="0" w:color="000000"/>
              <w:left w:val="nil"/>
              <w:bottom w:val="single" w:sz="6" w:space="0" w:color="000000"/>
              <w:right w:val="nil"/>
            </w:tcBorders>
            <w:noWrap/>
            <w:hideMark/>
          </w:tcPr>
          <w:p w:rsidR="005657B5" w:rsidRDefault="005657B5">
            <w:pPr>
              <w:rPr>
                <w:color w:val="000000"/>
                <w:sz w:val="22"/>
                <w:szCs w:val="22"/>
                <w:lang w:bidi="ar-SA"/>
              </w:rPr>
            </w:pPr>
            <w:r>
              <w:rPr>
                <w:color w:val="000000"/>
              </w:rPr>
              <w:t>92 (84%)</w:t>
            </w:r>
          </w:p>
        </w:tc>
      </w:tr>
      <w:tr w:rsidR="005657B5" w:rsidTr="005657B5">
        <w:trPr>
          <w:trHeight w:val="300"/>
        </w:trPr>
        <w:tc>
          <w:tcPr>
            <w:tcW w:w="4608" w:type="dxa"/>
            <w:tcBorders>
              <w:top w:val="single" w:sz="6" w:space="0" w:color="000000"/>
              <w:left w:val="nil"/>
              <w:bottom w:val="single" w:sz="6" w:space="0" w:color="000000"/>
              <w:right w:val="nil"/>
            </w:tcBorders>
            <w:noWrap/>
            <w:hideMark/>
          </w:tcPr>
          <w:p w:rsidR="005657B5" w:rsidRDefault="005657B5">
            <w:pPr>
              <w:rPr>
                <w:b/>
                <w:bCs/>
                <w:color w:val="000000"/>
                <w:sz w:val="22"/>
                <w:szCs w:val="22"/>
                <w:lang w:bidi="ar-SA"/>
              </w:rPr>
            </w:pPr>
            <w:r>
              <w:rPr>
                <w:b/>
                <w:bCs/>
                <w:color w:val="000000"/>
              </w:rPr>
              <w:t xml:space="preserve">Stroke Diagnosis </w:t>
            </w:r>
          </w:p>
        </w:tc>
        <w:tc>
          <w:tcPr>
            <w:tcW w:w="1589" w:type="dxa"/>
            <w:tcBorders>
              <w:top w:val="single" w:sz="6" w:space="0" w:color="000000"/>
              <w:left w:val="nil"/>
              <w:bottom w:val="single" w:sz="6" w:space="0" w:color="000000"/>
              <w:right w:val="nil"/>
            </w:tcBorders>
            <w:noWrap/>
            <w:hideMark/>
          </w:tcPr>
          <w:p w:rsidR="005657B5" w:rsidRDefault="005657B5">
            <w:pPr>
              <w:rPr>
                <w:color w:val="000000"/>
                <w:sz w:val="22"/>
                <w:szCs w:val="22"/>
                <w:lang w:bidi="ar-SA"/>
              </w:rPr>
            </w:pPr>
            <w:r>
              <w:rPr>
                <w:color w:val="000000"/>
              </w:rPr>
              <w:t>7 (6%)</w:t>
            </w:r>
          </w:p>
        </w:tc>
      </w:tr>
      <w:tr w:rsidR="005657B5" w:rsidTr="005657B5">
        <w:trPr>
          <w:trHeight w:val="300"/>
        </w:trPr>
        <w:tc>
          <w:tcPr>
            <w:tcW w:w="4608" w:type="dxa"/>
            <w:tcBorders>
              <w:top w:val="single" w:sz="6" w:space="0" w:color="000000"/>
              <w:left w:val="nil"/>
              <w:bottom w:val="single" w:sz="6" w:space="0" w:color="000000"/>
              <w:right w:val="nil"/>
            </w:tcBorders>
            <w:noWrap/>
            <w:hideMark/>
          </w:tcPr>
          <w:p w:rsidR="005657B5" w:rsidRDefault="005657B5">
            <w:pPr>
              <w:ind w:firstLine="360"/>
              <w:rPr>
                <w:color w:val="000000"/>
                <w:sz w:val="22"/>
                <w:szCs w:val="22"/>
                <w:lang w:bidi="ar-SA"/>
              </w:rPr>
            </w:pPr>
            <w:r>
              <w:rPr>
                <w:color w:val="000000"/>
              </w:rPr>
              <w:t>Prior to TC (Average 1 day prior)</w:t>
            </w:r>
          </w:p>
        </w:tc>
        <w:tc>
          <w:tcPr>
            <w:tcW w:w="1589" w:type="dxa"/>
            <w:tcBorders>
              <w:top w:val="single" w:sz="6" w:space="0" w:color="000000"/>
              <w:left w:val="nil"/>
              <w:bottom w:val="single" w:sz="6" w:space="0" w:color="000000"/>
              <w:right w:val="nil"/>
            </w:tcBorders>
            <w:noWrap/>
            <w:hideMark/>
          </w:tcPr>
          <w:p w:rsidR="005657B5" w:rsidRDefault="005657B5">
            <w:pPr>
              <w:ind w:firstLine="221"/>
              <w:rPr>
                <w:color w:val="000000"/>
                <w:sz w:val="22"/>
                <w:szCs w:val="22"/>
                <w:lang w:bidi="ar-SA"/>
              </w:rPr>
            </w:pPr>
            <w:r>
              <w:rPr>
                <w:color w:val="000000"/>
              </w:rPr>
              <w:t>2 (1.8%)</w:t>
            </w:r>
          </w:p>
        </w:tc>
      </w:tr>
      <w:tr w:rsidR="005657B5" w:rsidTr="005657B5">
        <w:trPr>
          <w:trHeight w:val="300"/>
        </w:trPr>
        <w:tc>
          <w:tcPr>
            <w:tcW w:w="4608" w:type="dxa"/>
            <w:tcBorders>
              <w:top w:val="single" w:sz="6" w:space="0" w:color="000000"/>
              <w:left w:val="nil"/>
              <w:bottom w:val="single" w:sz="6" w:space="0" w:color="000000"/>
              <w:right w:val="nil"/>
            </w:tcBorders>
            <w:noWrap/>
            <w:hideMark/>
          </w:tcPr>
          <w:p w:rsidR="005657B5" w:rsidRDefault="005657B5">
            <w:pPr>
              <w:ind w:firstLine="360"/>
              <w:rPr>
                <w:color w:val="000000"/>
                <w:sz w:val="22"/>
                <w:szCs w:val="22"/>
                <w:lang w:bidi="ar-SA"/>
              </w:rPr>
            </w:pPr>
            <w:r>
              <w:rPr>
                <w:color w:val="000000"/>
              </w:rPr>
              <w:t>Subsequent to TC (Average 5.5 days after)</w:t>
            </w:r>
          </w:p>
        </w:tc>
        <w:tc>
          <w:tcPr>
            <w:tcW w:w="1589" w:type="dxa"/>
            <w:tcBorders>
              <w:top w:val="single" w:sz="6" w:space="0" w:color="000000"/>
              <w:left w:val="nil"/>
              <w:bottom w:val="single" w:sz="6" w:space="0" w:color="000000"/>
              <w:right w:val="nil"/>
            </w:tcBorders>
            <w:noWrap/>
            <w:hideMark/>
          </w:tcPr>
          <w:p w:rsidR="005657B5" w:rsidRDefault="005657B5">
            <w:pPr>
              <w:ind w:firstLine="221"/>
              <w:rPr>
                <w:color w:val="000000"/>
                <w:sz w:val="22"/>
                <w:szCs w:val="22"/>
                <w:lang w:bidi="ar-SA"/>
              </w:rPr>
            </w:pPr>
            <w:r>
              <w:rPr>
                <w:color w:val="000000"/>
              </w:rPr>
              <w:t>4 (3.6%)</w:t>
            </w:r>
          </w:p>
        </w:tc>
      </w:tr>
      <w:tr w:rsidR="005657B5" w:rsidTr="005657B5">
        <w:trPr>
          <w:trHeight w:val="300"/>
        </w:trPr>
        <w:tc>
          <w:tcPr>
            <w:tcW w:w="4608" w:type="dxa"/>
            <w:tcBorders>
              <w:top w:val="single" w:sz="6" w:space="0" w:color="000000"/>
              <w:left w:val="nil"/>
              <w:bottom w:val="single" w:sz="6" w:space="0" w:color="000000"/>
              <w:right w:val="nil"/>
            </w:tcBorders>
            <w:noWrap/>
            <w:hideMark/>
          </w:tcPr>
          <w:p w:rsidR="005657B5" w:rsidRDefault="005657B5">
            <w:pPr>
              <w:ind w:firstLine="360"/>
              <w:rPr>
                <w:color w:val="000000"/>
                <w:sz w:val="22"/>
                <w:szCs w:val="22"/>
                <w:lang w:bidi="ar-SA"/>
              </w:rPr>
            </w:pPr>
            <w:r>
              <w:rPr>
                <w:color w:val="000000"/>
              </w:rPr>
              <w:t>Concurrent to TC</w:t>
            </w:r>
          </w:p>
        </w:tc>
        <w:tc>
          <w:tcPr>
            <w:tcW w:w="1589" w:type="dxa"/>
            <w:tcBorders>
              <w:top w:val="single" w:sz="6" w:space="0" w:color="000000"/>
              <w:left w:val="nil"/>
              <w:bottom w:val="single" w:sz="6" w:space="0" w:color="000000"/>
              <w:right w:val="nil"/>
            </w:tcBorders>
            <w:noWrap/>
            <w:hideMark/>
          </w:tcPr>
          <w:p w:rsidR="005657B5" w:rsidRDefault="005657B5">
            <w:pPr>
              <w:ind w:firstLine="221"/>
              <w:rPr>
                <w:color w:val="000000"/>
                <w:sz w:val="22"/>
                <w:szCs w:val="22"/>
                <w:lang w:bidi="ar-SA"/>
              </w:rPr>
            </w:pPr>
            <w:r>
              <w:rPr>
                <w:color w:val="000000"/>
              </w:rPr>
              <w:t>1 (0.9%)</w:t>
            </w:r>
          </w:p>
        </w:tc>
      </w:tr>
      <w:tr w:rsidR="005657B5" w:rsidTr="005657B5">
        <w:trPr>
          <w:trHeight w:val="300"/>
        </w:trPr>
        <w:tc>
          <w:tcPr>
            <w:tcW w:w="4608" w:type="dxa"/>
            <w:tcBorders>
              <w:top w:val="single" w:sz="6" w:space="0" w:color="000000"/>
              <w:left w:val="nil"/>
              <w:bottom w:val="single" w:sz="6" w:space="0" w:color="000000"/>
              <w:right w:val="nil"/>
            </w:tcBorders>
            <w:noWrap/>
            <w:hideMark/>
          </w:tcPr>
          <w:p w:rsidR="005657B5" w:rsidRDefault="005657B5">
            <w:pPr>
              <w:rPr>
                <w:b/>
                <w:bCs/>
                <w:color w:val="000000"/>
                <w:sz w:val="22"/>
                <w:szCs w:val="22"/>
                <w:lang w:bidi="ar-SA"/>
              </w:rPr>
            </w:pPr>
            <w:r>
              <w:rPr>
                <w:b/>
                <w:bCs/>
                <w:color w:val="000000"/>
              </w:rPr>
              <w:t>Type of Stroke</w:t>
            </w:r>
          </w:p>
        </w:tc>
        <w:tc>
          <w:tcPr>
            <w:tcW w:w="1589" w:type="dxa"/>
            <w:tcBorders>
              <w:top w:val="single" w:sz="6" w:space="0" w:color="000000"/>
              <w:left w:val="nil"/>
              <w:bottom w:val="single" w:sz="6" w:space="0" w:color="000000"/>
              <w:right w:val="nil"/>
            </w:tcBorders>
            <w:noWrap/>
          </w:tcPr>
          <w:p w:rsidR="005657B5" w:rsidRDefault="005657B5">
            <w:pPr>
              <w:rPr>
                <w:color w:val="000000"/>
                <w:sz w:val="22"/>
                <w:szCs w:val="22"/>
                <w:lang w:bidi="ar-SA"/>
              </w:rPr>
            </w:pPr>
          </w:p>
        </w:tc>
      </w:tr>
      <w:tr w:rsidR="005657B5" w:rsidTr="005657B5">
        <w:trPr>
          <w:trHeight w:val="300"/>
        </w:trPr>
        <w:tc>
          <w:tcPr>
            <w:tcW w:w="4608" w:type="dxa"/>
            <w:tcBorders>
              <w:top w:val="single" w:sz="6" w:space="0" w:color="000000"/>
              <w:left w:val="nil"/>
              <w:bottom w:val="single" w:sz="6" w:space="0" w:color="000000"/>
              <w:right w:val="nil"/>
            </w:tcBorders>
            <w:noWrap/>
            <w:hideMark/>
          </w:tcPr>
          <w:p w:rsidR="005657B5" w:rsidRDefault="005657B5">
            <w:pPr>
              <w:ind w:firstLine="360"/>
              <w:rPr>
                <w:color w:val="000000"/>
                <w:sz w:val="22"/>
                <w:szCs w:val="22"/>
                <w:lang w:bidi="ar-SA"/>
              </w:rPr>
            </w:pPr>
            <w:r>
              <w:rPr>
                <w:color w:val="000000"/>
              </w:rPr>
              <w:t>Ischemic</w:t>
            </w:r>
          </w:p>
        </w:tc>
        <w:tc>
          <w:tcPr>
            <w:tcW w:w="1589" w:type="dxa"/>
            <w:tcBorders>
              <w:top w:val="single" w:sz="6" w:space="0" w:color="000000"/>
              <w:left w:val="nil"/>
              <w:bottom w:val="single" w:sz="6" w:space="0" w:color="000000"/>
              <w:right w:val="nil"/>
            </w:tcBorders>
            <w:noWrap/>
            <w:hideMark/>
          </w:tcPr>
          <w:p w:rsidR="005657B5" w:rsidRDefault="005657B5">
            <w:pPr>
              <w:ind w:firstLine="221"/>
              <w:rPr>
                <w:color w:val="000000"/>
                <w:sz w:val="22"/>
                <w:szCs w:val="22"/>
                <w:lang w:bidi="ar-SA"/>
              </w:rPr>
            </w:pPr>
            <w:r>
              <w:rPr>
                <w:color w:val="000000"/>
              </w:rPr>
              <w:t>3</w:t>
            </w:r>
          </w:p>
        </w:tc>
      </w:tr>
      <w:tr w:rsidR="005657B5" w:rsidTr="005657B5">
        <w:trPr>
          <w:trHeight w:val="300"/>
        </w:trPr>
        <w:tc>
          <w:tcPr>
            <w:tcW w:w="4608" w:type="dxa"/>
            <w:tcBorders>
              <w:top w:val="single" w:sz="6" w:space="0" w:color="000000"/>
              <w:left w:val="nil"/>
              <w:bottom w:val="single" w:sz="6" w:space="0" w:color="000000"/>
              <w:right w:val="nil"/>
            </w:tcBorders>
            <w:noWrap/>
            <w:hideMark/>
          </w:tcPr>
          <w:p w:rsidR="005657B5" w:rsidRDefault="005657B5">
            <w:pPr>
              <w:ind w:firstLine="360"/>
              <w:rPr>
                <w:color w:val="000000"/>
                <w:sz w:val="22"/>
                <w:szCs w:val="22"/>
                <w:lang w:bidi="ar-SA"/>
              </w:rPr>
            </w:pPr>
            <w:r>
              <w:rPr>
                <w:color w:val="000000"/>
              </w:rPr>
              <w:t>Transient Ischemic Attack</w:t>
            </w:r>
          </w:p>
        </w:tc>
        <w:tc>
          <w:tcPr>
            <w:tcW w:w="1589" w:type="dxa"/>
            <w:tcBorders>
              <w:top w:val="single" w:sz="6" w:space="0" w:color="000000"/>
              <w:left w:val="nil"/>
              <w:bottom w:val="single" w:sz="6" w:space="0" w:color="000000"/>
              <w:right w:val="nil"/>
            </w:tcBorders>
            <w:noWrap/>
            <w:hideMark/>
          </w:tcPr>
          <w:p w:rsidR="005657B5" w:rsidRDefault="005657B5">
            <w:pPr>
              <w:ind w:firstLine="221"/>
              <w:rPr>
                <w:color w:val="000000"/>
                <w:sz w:val="22"/>
                <w:szCs w:val="22"/>
                <w:lang w:bidi="ar-SA"/>
              </w:rPr>
            </w:pPr>
            <w:r>
              <w:rPr>
                <w:color w:val="000000"/>
              </w:rPr>
              <w:t>1</w:t>
            </w:r>
          </w:p>
        </w:tc>
      </w:tr>
      <w:tr w:rsidR="005657B5" w:rsidTr="005657B5">
        <w:trPr>
          <w:trHeight w:val="300"/>
        </w:trPr>
        <w:tc>
          <w:tcPr>
            <w:tcW w:w="4608" w:type="dxa"/>
            <w:tcBorders>
              <w:top w:val="single" w:sz="6" w:space="0" w:color="000000"/>
              <w:left w:val="nil"/>
              <w:bottom w:val="single" w:sz="12" w:space="0" w:color="000000"/>
              <w:right w:val="nil"/>
            </w:tcBorders>
            <w:noWrap/>
            <w:hideMark/>
          </w:tcPr>
          <w:p w:rsidR="005657B5" w:rsidRDefault="005657B5">
            <w:pPr>
              <w:ind w:firstLine="360"/>
              <w:rPr>
                <w:color w:val="000000"/>
                <w:sz w:val="22"/>
                <w:szCs w:val="22"/>
                <w:lang w:bidi="ar-SA"/>
              </w:rPr>
            </w:pPr>
            <w:proofErr w:type="spellStart"/>
            <w:r>
              <w:rPr>
                <w:color w:val="000000"/>
              </w:rPr>
              <w:t>Intracerebral</w:t>
            </w:r>
            <w:proofErr w:type="spellEnd"/>
            <w:r>
              <w:rPr>
                <w:color w:val="000000"/>
              </w:rPr>
              <w:t xml:space="preserve"> Hemorrhage</w:t>
            </w:r>
          </w:p>
        </w:tc>
        <w:tc>
          <w:tcPr>
            <w:tcW w:w="1589" w:type="dxa"/>
            <w:tcBorders>
              <w:top w:val="single" w:sz="6" w:space="0" w:color="000000"/>
              <w:left w:val="nil"/>
              <w:bottom w:val="single" w:sz="12" w:space="0" w:color="000000"/>
              <w:right w:val="nil"/>
            </w:tcBorders>
            <w:noWrap/>
            <w:hideMark/>
          </w:tcPr>
          <w:p w:rsidR="005657B5" w:rsidRDefault="005657B5">
            <w:pPr>
              <w:ind w:firstLine="221"/>
              <w:rPr>
                <w:color w:val="000000"/>
                <w:sz w:val="22"/>
                <w:szCs w:val="22"/>
                <w:lang w:bidi="ar-SA"/>
              </w:rPr>
            </w:pPr>
            <w:r>
              <w:rPr>
                <w:color w:val="000000"/>
              </w:rPr>
              <w:t>2</w:t>
            </w:r>
          </w:p>
        </w:tc>
      </w:tr>
    </w:tbl>
    <w:p w:rsidR="005657B5" w:rsidRDefault="005657B5" w:rsidP="005657B5">
      <w:pPr>
        <w:tabs>
          <w:tab w:val="left" w:pos="2010"/>
        </w:tabs>
        <w:rPr>
          <w:b/>
          <w:sz w:val="22"/>
          <w:szCs w:val="22"/>
          <w:lang w:bidi="ar-SA"/>
        </w:rPr>
      </w:pPr>
    </w:p>
    <w:p w:rsidR="00B921ED" w:rsidRDefault="00B921ED">
      <w:pPr>
        <w:widowControl w:val="0"/>
        <w:autoSpaceDE w:val="0"/>
        <w:autoSpaceDN w:val="0"/>
        <w:adjustRightInd w:val="0"/>
        <w:jc w:val="both"/>
      </w:pPr>
      <w:r>
        <w:t xml:space="preserve">Conclusions:  Our study is associated with the highest incidence (3.6 percent) of stroke following </w:t>
      </w:r>
      <w:proofErr w:type="spellStart"/>
      <w:r>
        <w:t>Takotsubo</w:t>
      </w:r>
      <w:proofErr w:type="spellEnd"/>
      <w:r>
        <w:t xml:space="preserve"> diagnosis, indicating that stroke may be a more common complication of TC than previously stated.  Although the causative mechanism to explain concurrent TC and stroke remains unclear, it is important that clinicians appreciate the potential for concurrent diagnoses. Clarification of the relationship is imperative for prevention and treatment. </w:t>
      </w:r>
    </w:p>
    <w:p w:rsidR="00B921ED" w:rsidRDefault="00B921ED">
      <w:pPr>
        <w:widowControl w:val="0"/>
        <w:autoSpaceDE w:val="0"/>
        <w:autoSpaceDN w:val="0"/>
        <w:adjustRightInd w:val="0"/>
      </w:pPr>
    </w:p>
    <w:sectPr w:rsidR="00B921ED" w:rsidSect="005657B5">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B5" w:rsidRDefault="005657B5" w:rsidP="005657B5">
      <w:r>
        <w:separator/>
      </w:r>
    </w:p>
  </w:endnote>
  <w:endnote w:type="continuationSeparator" w:id="0">
    <w:p w:rsidR="005657B5" w:rsidRDefault="005657B5" w:rsidP="005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B5" w:rsidRDefault="005657B5" w:rsidP="005657B5">
      <w:r>
        <w:separator/>
      </w:r>
    </w:p>
  </w:footnote>
  <w:footnote w:type="continuationSeparator" w:id="0">
    <w:p w:rsidR="005657B5" w:rsidRDefault="005657B5" w:rsidP="0056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B5" w:rsidRDefault="005657B5" w:rsidP="005657B5">
    <w:pPr>
      <w:pStyle w:val="Header"/>
    </w:pPr>
    <w:r>
      <w:t xml:space="preserve">1294   </w:t>
    </w:r>
    <w:proofErr w:type="gramStart"/>
    <w:r>
      <w:t>Either  Cat</w:t>
    </w:r>
    <w:proofErr w:type="gramEnd"/>
    <w:r>
      <w:t>:  33</w:t>
    </w:r>
  </w:p>
  <w:p w:rsidR="005657B5" w:rsidRDefault="0056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447B2F"/>
    <w:rsid w:val="005657B5"/>
    <w:rsid w:val="00AD62B8"/>
    <w:rsid w:val="00B921ED"/>
    <w:rsid w:val="00C4049E"/>
    <w:rsid w:val="00EC6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7B5"/>
    <w:pPr>
      <w:tabs>
        <w:tab w:val="center" w:pos="4320"/>
        <w:tab w:val="right" w:pos="8640"/>
      </w:tabs>
    </w:pPr>
  </w:style>
  <w:style w:type="character" w:customStyle="1" w:styleId="HeaderChar">
    <w:name w:val="Header Char"/>
    <w:link w:val="Header"/>
    <w:uiPriority w:val="99"/>
    <w:rsid w:val="005657B5"/>
    <w:rPr>
      <w:sz w:val="24"/>
      <w:szCs w:val="24"/>
    </w:rPr>
  </w:style>
  <w:style w:type="paragraph" w:styleId="Footer">
    <w:name w:val="footer"/>
    <w:basedOn w:val="Normal"/>
    <w:link w:val="FooterChar"/>
    <w:uiPriority w:val="99"/>
    <w:unhideWhenUsed/>
    <w:rsid w:val="005657B5"/>
    <w:pPr>
      <w:tabs>
        <w:tab w:val="center" w:pos="4320"/>
        <w:tab w:val="right" w:pos="8640"/>
      </w:tabs>
    </w:pPr>
  </w:style>
  <w:style w:type="character" w:customStyle="1" w:styleId="FooterChar">
    <w:name w:val="Footer Char"/>
    <w:link w:val="Footer"/>
    <w:uiPriority w:val="99"/>
    <w:rsid w:val="005657B5"/>
    <w:rPr>
      <w:sz w:val="24"/>
      <w:szCs w:val="24"/>
    </w:rPr>
  </w:style>
  <w:style w:type="paragraph" w:styleId="BalloonText">
    <w:name w:val="Balloon Text"/>
    <w:basedOn w:val="Normal"/>
    <w:link w:val="BalloonTextChar"/>
    <w:uiPriority w:val="99"/>
    <w:semiHidden/>
    <w:unhideWhenUsed/>
    <w:rsid w:val="005657B5"/>
    <w:rPr>
      <w:rFonts w:ascii="Tahoma" w:hAnsi="Tahoma" w:cs="Tahoma"/>
      <w:sz w:val="16"/>
      <w:szCs w:val="16"/>
    </w:rPr>
  </w:style>
  <w:style w:type="character" w:customStyle="1" w:styleId="BalloonTextChar">
    <w:name w:val="Balloon Text Char"/>
    <w:link w:val="BalloonText"/>
    <w:uiPriority w:val="99"/>
    <w:semiHidden/>
    <w:rsid w:val="005657B5"/>
    <w:rPr>
      <w:rFonts w:ascii="Tahoma" w:hAnsi="Tahoma" w:cs="Tahoma"/>
      <w:sz w:val="16"/>
      <w:szCs w:val="16"/>
    </w:rPr>
  </w:style>
  <w:style w:type="paragraph" w:styleId="NoSpacing">
    <w:name w:val="No Spacing"/>
    <w:uiPriority w:val="99"/>
    <w:qFormat/>
    <w:rsid w:val="005657B5"/>
    <w:rPr>
      <w:rFonts w:ascii="Calibri" w:eastAsia="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A83D6837</Template>
  <TotalTime>10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2012-03-14T14:05:00Z</dcterms:created>
  <dcterms:modified xsi:type="dcterms:W3CDTF">2012-06-18T10:28:00Z</dcterms:modified>
</cp:coreProperties>
</file>